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5229C" w14:textId="69F01FC5" w:rsidR="00065D7D" w:rsidRDefault="00065D7D" w:rsidP="00EC1BE5">
      <w:pPr>
        <w:jc w:val="center"/>
        <w:rPr>
          <w:b/>
          <w:bCs/>
        </w:rPr>
      </w:pPr>
      <w:r>
        <w:rPr>
          <w:b/>
          <w:bCs/>
        </w:rPr>
        <w:t>Distributor Support: EnduraMat</w:t>
      </w:r>
      <w:r w:rsidR="003760E5" w:rsidRPr="003760E5">
        <w:rPr>
          <w:b/>
          <w:bCs/>
        </w:rPr>
        <w:t>™</w:t>
      </w:r>
      <w:r>
        <w:rPr>
          <w:b/>
          <w:bCs/>
        </w:rPr>
        <w:t xml:space="preserve"> Description </w:t>
      </w:r>
    </w:p>
    <w:p w14:paraId="50A4B366" w14:textId="77777777" w:rsidR="00EC1BE5" w:rsidRDefault="00EC1BE5" w:rsidP="00EC1BE5">
      <w:pPr>
        <w:jc w:val="center"/>
        <w:rPr>
          <w:b/>
          <w:bCs/>
        </w:rPr>
      </w:pPr>
    </w:p>
    <w:p w14:paraId="546B8028" w14:textId="2CA4DD29" w:rsidR="00065D7D" w:rsidRDefault="00065D7D" w:rsidP="00EC1BE5">
      <w:pPr>
        <w:spacing w:after="0"/>
        <w:rPr>
          <w:b/>
          <w:bCs/>
        </w:rPr>
      </w:pPr>
      <w:r>
        <w:rPr>
          <w:b/>
          <w:bCs/>
        </w:rPr>
        <w:t>EnduraMat</w:t>
      </w:r>
      <w:r w:rsidR="003760E5" w:rsidRPr="003760E5">
        <w:rPr>
          <w:b/>
          <w:bCs/>
        </w:rPr>
        <w:t>™</w:t>
      </w:r>
      <w:r>
        <w:rPr>
          <w:b/>
          <w:bCs/>
        </w:rPr>
        <w:t xml:space="preserve"> </w:t>
      </w:r>
      <w:r w:rsidR="00EC1BE5">
        <w:rPr>
          <w:b/>
          <w:bCs/>
        </w:rPr>
        <w:t>Bio</w:t>
      </w:r>
    </w:p>
    <w:p w14:paraId="69A990A2" w14:textId="6A89171C" w:rsidR="00EC1BE5" w:rsidRDefault="001E1F10" w:rsidP="001E1F10">
      <w:r>
        <w:t>Heavy duty ground</w:t>
      </w:r>
      <w:r>
        <w:t xml:space="preserve"> </w:t>
      </w:r>
      <w:r>
        <w:t>protection mat suitable</w:t>
      </w:r>
      <w:r>
        <w:t xml:space="preserve"> </w:t>
      </w:r>
      <w:r>
        <w:t>for worksites, events</w:t>
      </w:r>
      <w:r>
        <w:t xml:space="preserve"> </w:t>
      </w:r>
      <w:r>
        <w:t>and creating temporary</w:t>
      </w:r>
      <w:r>
        <w:t xml:space="preserve"> </w:t>
      </w:r>
      <w:r>
        <w:t>access. Drive cars, trucks,</w:t>
      </w:r>
      <w:r>
        <w:t xml:space="preserve"> </w:t>
      </w:r>
      <w:r>
        <w:t>forklifts, tractors and</w:t>
      </w:r>
      <w:r>
        <w:t xml:space="preserve"> </w:t>
      </w:r>
      <w:r>
        <w:t>cranes up to 176,000 lbs,</w:t>
      </w:r>
      <w:r>
        <w:t xml:space="preserve"> </w:t>
      </w:r>
      <w:r>
        <w:t>causing little to no</w:t>
      </w:r>
      <w:r>
        <w:t xml:space="preserve"> </w:t>
      </w:r>
      <w:r>
        <w:t>disturbance to the</w:t>
      </w:r>
      <w:r>
        <w:t xml:space="preserve"> </w:t>
      </w:r>
      <w:r>
        <w:t>ground underneath.</w:t>
      </w:r>
    </w:p>
    <w:p w14:paraId="7FC8E2B6" w14:textId="518F49B4" w:rsidR="005A2820" w:rsidRPr="005A2820" w:rsidRDefault="005A2820" w:rsidP="005A2820">
      <w:pPr>
        <w:spacing w:after="0"/>
        <w:rPr>
          <w:b/>
          <w:bCs/>
        </w:rPr>
      </w:pPr>
      <w:r w:rsidRPr="005A2820">
        <w:rPr>
          <w:b/>
          <w:bCs/>
        </w:rPr>
        <w:t>Features &amp; Benefits</w:t>
      </w:r>
    </w:p>
    <w:p w14:paraId="5C0F5DA1" w14:textId="65615F2B" w:rsidR="00BB1935" w:rsidRPr="00BB1935" w:rsidRDefault="00BB1935" w:rsidP="00BB1935">
      <w:pPr>
        <w:pStyle w:val="ListParagraph"/>
        <w:numPr>
          <w:ilvl w:val="0"/>
          <w:numId w:val="2"/>
        </w:numPr>
        <w:rPr>
          <w:rFonts w:asciiTheme="minorHAnsi" w:hAnsiTheme="minorHAnsi" w:cstheme="minorBidi"/>
        </w:rPr>
      </w:pPr>
      <w:r w:rsidRPr="00BB1935">
        <w:t xml:space="preserve">Clearly demarcate walkways and thoroughfares to avoid hazards </w:t>
      </w:r>
    </w:p>
    <w:p w14:paraId="638CD8E0" w14:textId="15958EA5" w:rsidR="00BB1935" w:rsidRPr="00BB1935" w:rsidRDefault="00BB1935" w:rsidP="00BB1935">
      <w:pPr>
        <w:numPr>
          <w:ilvl w:val="0"/>
          <w:numId w:val="2"/>
        </w:numPr>
        <w:spacing w:after="0" w:line="240" w:lineRule="auto"/>
      </w:pPr>
      <w:r w:rsidRPr="00BB1935">
        <w:t>Create stable ground conditions</w:t>
      </w:r>
      <w:r>
        <w:t xml:space="preserve"> </w:t>
      </w:r>
      <w:r w:rsidRPr="00BB1935">
        <w:t>for heavy vehicles</w:t>
      </w:r>
      <w:r>
        <w:t xml:space="preserve">, suitable for heavy traffic up to </w:t>
      </w:r>
      <w:r w:rsidR="001E1F10" w:rsidRPr="001E1F10">
        <w:t>176,000 lbs</w:t>
      </w:r>
    </w:p>
    <w:p w14:paraId="5431A124" w14:textId="655A80E2" w:rsidR="00EC1BE5" w:rsidRPr="00EC1BE5" w:rsidRDefault="00EC1BE5" w:rsidP="00BB1935">
      <w:pPr>
        <w:pStyle w:val="ListParagraph"/>
        <w:numPr>
          <w:ilvl w:val="0"/>
          <w:numId w:val="2"/>
        </w:numPr>
        <w:rPr>
          <w:rFonts w:asciiTheme="minorHAnsi" w:hAnsiTheme="minorHAnsi" w:cstheme="minorBidi"/>
        </w:rPr>
      </w:pPr>
      <w:r w:rsidRPr="00EC1BE5">
        <w:rPr>
          <w:rFonts w:asciiTheme="minorHAnsi" w:hAnsiTheme="minorHAnsi" w:cstheme="minorBidi"/>
        </w:rPr>
        <w:t>Temporary ground protection mat for vehicles &amp; pedestrians</w:t>
      </w:r>
    </w:p>
    <w:p w14:paraId="4CDBEA1D" w14:textId="5133F2AA" w:rsidR="00065D7D" w:rsidRDefault="00065D7D" w:rsidP="00065D7D">
      <w:pPr>
        <w:numPr>
          <w:ilvl w:val="0"/>
          <w:numId w:val="2"/>
        </w:numPr>
        <w:spacing w:after="0" w:line="240" w:lineRule="auto"/>
      </w:pPr>
      <w:r>
        <w:t>Reversible anti-slip surface</w:t>
      </w:r>
    </w:p>
    <w:p w14:paraId="50F154F9" w14:textId="31D0B45C" w:rsidR="00BB1935" w:rsidRDefault="00BB1935" w:rsidP="00BB1935">
      <w:pPr>
        <w:numPr>
          <w:ilvl w:val="0"/>
          <w:numId w:val="2"/>
        </w:numPr>
        <w:spacing w:after="0" w:line="240" w:lineRule="auto"/>
      </w:pPr>
      <w:r>
        <w:t>Create semi-permanent roadways using heavy-duty couplers</w:t>
      </w:r>
    </w:p>
    <w:p w14:paraId="2EA3FAD3" w14:textId="60928848" w:rsidR="00BB1935" w:rsidRDefault="00BB1935" w:rsidP="00BB1935">
      <w:pPr>
        <w:numPr>
          <w:ilvl w:val="0"/>
          <w:numId w:val="2"/>
        </w:numPr>
        <w:spacing w:after="0" w:line="240" w:lineRule="auto"/>
      </w:pPr>
      <w:r>
        <w:t>Create portable roadways using light-duty couplers</w:t>
      </w:r>
    </w:p>
    <w:p w14:paraId="5A107FC0" w14:textId="7F1B3101" w:rsidR="00BB1935" w:rsidRDefault="00BB1935" w:rsidP="00BB1935">
      <w:pPr>
        <w:numPr>
          <w:ilvl w:val="0"/>
          <w:numId w:val="2"/>
        </w:numPr>
        <w:spacing w:after="0" w:line="240" w:lineRule="auto"/>
      </w:pPr>
      <w:r>
        <w:t>Clearly signpost to inform, educate and navigate pedestrians</w:t>
      </w:r>
    </w:p>
    <w:p w14:paraId="20E0CE9A" w14:textId="3D9033FF" w:rsidR="001E1F10" w:rsidRDefault="001E1F10" w:rsidP="001E1F10">
      <w:pPr>
        <w:numPr>
          <w:ilvl w:val="0"/>
          <w:numId w:val="2"/>
        </w:numPr>
        <w:spacing w:after="0" w:line="240" w:lineRule="auto"/>
      </w:pPr>
      <w:r>
        <w:t>Prevents costly damage to</w:t>
      </w:r>
      <w:r>
        <w:t xml:space="preserve"> </w:t>
      </w:r>
      <w:r>
        <w:t>landscapes and hardscapes</w:t>
      </w:r>
    </w:p>
    <w:p w14:paraId="602786EA" w14:textId="309BC27A" w:rsidR="001E1F10" w:rsidRDefault="001E1F10" w:rsidP="001E1F10">
      <w:pPr>
        <w:numPr>
          <w:ilvl w:val="0"/>
          <w:numId w:val="2"/>
        </w:numPr>
        <w:spacing w:after="0" w:line="240" w:lineRule="auto"/>
      </w:pPr>
      <w:r>
        <w:t>Easier to maneuver with molded</w:t>
      </w:r>
      <w:r>
        <w:t xml:space="preserve"> </w:t>
      </w:r>
      <w:r>
        <w:t>hand grips</w:t>
      </w:r>
    </w:p>
    <w:p w14:paraId="6E1F8AED" w14:textId="2D15F50F" w:rsidR="00BB1935" w:rsidRDefault="00BB1935" w:rsidP="00BB1935">
      <w:pPr>
        <w:numPr>
          <w:ilvl w:val="0"/>
          <w:numId w:val="2"/>
        </w:numPr>
        <w:spacing w:after="0" w:line="240" w:lineRule="auto"/>
      </w:pPr>
      <w:r>
        <w:t>Made from recycled material</w:t>
      </w:r>
    </w:p>
    <w:p w14:paraId="341BB916" w14:textId="77777777" w:rsidR="00BB7594" w:rsidRDefault="00BB7594" w:rsidP="00BB7594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100% recyclable </w:t>
      </w:r>
    </w:p>
    <w:p w14:paraId="6F4B11A8" w14:textId="77777777" w:rsidR="00512D7F" w:rsidRPr="00512D7F" w:rsidRDefault="00512D7F" w:rsidP="00BB7594">
      <w:pPr>
        <w:pStyle w:val="ListParagraph"/>
        <w:numPr>
          <w:ilvl w:val="0"/>
          <w:numId w:val="2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3D37D6AE" w14:textId="5914D5C1" w:rsidR="00BB7594" w:rsidRDefault="00BB7594" w:rsidP="00BB7594">
      <w:pPr>
        <w:pStyle w:val="ListParagraph"/>
        <w:numPr>
          <w:ilvl w:val="0"/>
          <w:numId w:val="2"/>
        </w:numPr>
      </w:pPr>
      <w:r>
        <w:t>Enquire about minimum order quantities for customi</w:t>
      </w:r>
      <w:r w:rsidR="001E1F10">
        <w:t>z</w:t>
      </w:r>
      <w:r>
        <w:t>ations</w:t>
      </w:r>
    </w:p>
    <w:p w14:paraId="32151E74" w14:textId="77777777" w:rsidR="00BB7594" w:rsidRDefault="00BB7594" w:rsidP="00BB7594">
      <w:pPr>
        <w:spacing w:after="0" w:line="240" w:lineRule="auto"/>
        <w:ind w:left="720"/>
      </w:pPr>
    </w:p>
    <w:p w14:paraId="51A5E8B6" w14:textId="64DD7524" w:rsidR="00065D7D" w:rsidRDefault="00065D7D" w:rsidP="00065D7D">
      <w:pPr>
        <w:spacing w:after="0" w:line="240" w:lineRule="auto"/>
      </w:pPr>
    </w:p>
    <w:p w14:paraId="371DCF13" w14:textId="0C4DD327" w:rsidR="00065D7D" w:rsidRDefault="00065D7D" w:rsidP="00065D7D">
      <w:pPr>
        <w:rPr>
          <w:b/>
          <w:bCs/>
          <w:spacing w:val="-2"/>
        </w:rPr>
      </w:pPr>
      <w:r>
        <w:rPr>
          <w:b/>
          <w:bCs/>
          <w:spacing w:val="-2"/>
        </w:rPr>
        <w:t>EnduraMat</w:t>
      </w:r>
      <w:r w:rsidR="003760E5" w:rsidRPr="003760E5">
        <w:rPr>
          <w:b/>
          <w:bCs/>
        </w:rPr>
        <w:t>™</w:t>
      </w:r>
      <w:r>
        <w:rPr>
          <w:b/>
          <w:bCs/>
          <w:spacing w:val="-2"/>
        </w:rPr>
        <w:t xml:space="preserve"> – Technical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985"/>
        <w:gridCol w:w="1985"/>
      </w:tblGrid>
      <w:tr w:rsidR="003760E5" w14:paraId="46765A5B" w14:textId="6A0556DF" w:rsidTr="00C61323">
        <w:tc>
          <w:tcPr>
            <w:tcW w:w="2972" w:type="dxa"/>
          </w:tcPr>
          <w:p w14:paraId="0D9DD1AA" w14:textId="77777777" w:rsidR="003760E5" w:rsidRDefault="003760E5" w:rsidP="00572A0B"/>
        </w:tc>
        <w:tc>
          <w:tcPr>
            <w:tcW w:w="1985" w:type="dxa"/>
          </w:tcPr>
          <w:p w14:paraId="7A811E5A" w14:textId="7A7480B4" w:rsidR="003760E5" w:rsidRDefault="003760E5" w:rsidP="00572A0B">
            <w:r>
              <w:t>EnduraMat</w:t>
            </w:r>
            <w:r w:rsidRPr="003760E5">
              <w:t>™</w:t>
            </w:r>
          </w:p>
        </w:tc>
        <w:tc>
          <w:tcPr>
            <w:tcW w:w="1985" w:type="dxa"/>
          </w:tcPr>
          <w:p w14:paraId="6EE8CA5B" w14:textId="673C0C03" w:rsidR="003760E5" w:rsidRDefault="003760E5" w:rsidP="00572A0B">
            <w:r>
              <w:t>Light Duty Connector</w:t>
            </w:r>
          </w:p>
        </w:tc>
        <w:tc>
          <w:tcPr>
            <w:tcW w:w="1985" w:type="dxa"/>
          </w:tcPr>
          <w:p w14:paraId="69E2AA69" w14:textId="31ECC66A" w:rsidR="003760E5" w:rsidRDefault="003760E5" w:rsidP="00572A0B">
            <w:r>
              <w:t>Heavy Duty Connector</w:t>
            </w:r>
          </w:p>
        </w:tc>
      </w:tr>
      <w:tr w:rsidR="003760E5" w14:paraId="49AFC73F" w14:textId="77777777" w:rsidTr="00C61323">
        <w:tc>
          <w:tcPr>
            <w:tcW w:w="2972" w:type="dxa"/>
          </w:tcPr>
          <w:p w14:paraId="4EC3C93C" w14:textId="108F1DF3" w:rsidR="003760E5" w:rsidRDefault="003760E5" w:rsidP="00572A0B">
            <w:r>
              <w:t>Product SKU No.</w:t>
            </w:r>
          </w:p>
        </w:tc>
        <w:tc>
          <w:tcPr>
            <w:tcW w:w="1985" w:type="dxa"/>
          </w:tcPr>
          <w:p w14:paraId="480BDE49" w14:textId="1B242506" w:rsidR="003760E5" w:rsidRDefault="003C6AB6" w:rsidP="00572A0B">
            <w:r>
              <w:t>3572</w:t>
            </w:r>
          </w:p>
        </w:tc>
        <w:tc>
          <w:tcPr>
            <w:tcW w:w="1985" w:type="dxa"/>
          </w:tcPr>
          <w:p w14:paraId="0A5B680C" w14:textId="2BEE9D7E" w:rsidR="003760E5" w:rsidRDefault="003C6AB6" w:rsidP="00572A0B">
            <w:r>
              <w:t>3111</w:t>
            </w:r>
          </w:p>
        </w:tc>
        <w:tc>
          <w:tcPr>
            <w:tcW w:w="1985" w:type="dxa"/>
          </w:tcPr>
          <w:p w14:paraId="6FB33972" w14:textId="6FEA4015" w:rsidR="003760E5" w:rsidRDefault="003C6AB6" w:rsidP="00572A0B">
            <w:r>
              <w:t>3734</w:t>
            </w:r>
          </w:p>
        </w:tc>
      </w:tr>
      <w:tr w:rsidR="003760E5" w14:paraId="759D8CDD" w14:textId="37B07295" w:rsidTr="00C61323">
        <w:tc>
          <w:tcPr>
            <w:tcW w:w="2972" w:type="dxa"/>
          </w:tcPr>
          <w:p w14:paraId="4575320B" w14:textId="2CEE56E4" w:rsidR="003760E5" w:rsidRDefault="003760E5" w:rsidP="00572A0B">
            <w:r>
              <w:t>Product No.</w:t>
            </w:r>
          </w:p>
        </w:tc>
        <w:tc>
          <w:tcPr>
            <w:tcW w:w="1985" w:type="dxa"/>
          </w:tcPr>
          <w:p w14:paraId="3C0DB9CC" w14:textId="1BD4884C" w:rsidR="003760E5" w:rsidRDefault="003760E5" w:rsidP="00572A0B">
            <w:r>
              <w:t>0651</w:t>
            </w:r>
          </w:p>
        </w:tc>
        <w:tc>
          <w:tcPr>
            <w:tcW w:w="1985" w:type="dxa"/>
          </w:tcPr>
          <w:p w14:paraId="10040B55" w14:textId="012BC094" w:rsidR="003760E5" w:rsidRDefault="003760E5" w:rsidP="00572A0B">
            <w:r>
              <w:t>0652</w:t>
            </w:r>
          </w:p>
        </w:tc>
        <w:tc>
          <w:tcPr>
            <w:tcW w:w="1985" w:type="dxa"/>
          </w:tcPr>
          <w:p w14:paraId="0728A250" w14:textId="60DCC70E" w:rsidR="003760E5" w:rsidRDefault="003760E5" w:rsidP="00572A0B">
            <w:r>
              <w:t>0648</w:t>
            </w:r>
          </w:p>
        </w:tc>
      </w:tr>
      <w:tr w:rsidR="003760E5" w14:paraId="606A01BF" w14:textId="3CE784EB" w:rsidTr="00C61323">
        <w:tc>
          <w:tcPr>
            <w:tcW w:w="2972" w:type="dxa"/>
          </w:tcPr>
          <w:p w14:paraId="3831FE9C" w14:textId="0D0FCE6C" w:rsidR="003760E5" w:rsidRDefault="003760E5" w:rsidP="00572A0B">
            <w:r>
              <w:t>Length</w:t>
            </w:r>
          </w:p>
        </w:tc>
        <w:tc>
          <w:tcPr>
            <w:tcW w:w="1985" w:type="dxa"/>
          </w:tcPr>
          <w:p w14:paraId="7101781E" w14:textId="0FB4B579" w:rsidR="003760E5" w:rsidRDefault="001E1F10" w:rsidP="00572A0B">
            <w:r>
              <w:t>96”</w:t>
            </w:r>
          </w:p>
        </w:tc>
        <w:tc>
          <w:tcPr>
            <w:tcW w:w="1985" w:type="dxa"/>
          </w:tcPr>
          <w:p w14:paraId="01ADA06B" w14:textId="0E61561D" w:rsidR="003760E5" w:rsidRDefault="001E1F10" w:rsidP="00572A0B">
            <w:r>
              <w:t>7”</w:t>
            </w:r>
          </w:p>
        </w:tc>
        <w:tc>
          <w:tcPr>
            <w:tcW w:w="1985" w:type="dxa"/>
          </w:tcPr>
          <w:p w14:paraId="18E30B82" w14:textId="426AA739" w:rsidR="003760E5" w:rsidRDefault="001E1F10" w:rsidP="00572A0B">
            <w:r>
              <w:t>4”</w:t>
            </w:r>
          </w:p>
        </w:tc>
      </w:tr>
      <w:tr w:rsidR="003760E5" w14:paraId="0D51891B" w14:textId="593D2F6D" w:rsidTr="00C61323">
        <w:tc>
          <w:tcPr>
            <w:tcW w:w="2972" w:type="dxa"/>
          </w:tcPr>
          <w:p w14:paraId="5DD1D720" w14:textId="4C9DE5B7" w:rsidR="003760E5" w:rsidRDefault="003760E5" w:rsidP="00572A0B">
            <w:r>
              <w:t>Width</w:t>
            </w:r>
          </w:p>
        </w:tc>
        <w:tc>
          <w:tcPr>
            <w:tcW w:w="1985" w:type="dxa"/>
          </w:tcPr>
          <w:p w14:paraId="5636BF30" w14:textId="6309689A" w:rsidR="003760E5" w:rsidRDefault="001E1F10" w:rsidP="00572A0B">
            <w:r>
              <w:t>48”</w:t>
            </w:r>
          </w:p>
        </w:tc>
        <w:tc>
          <w:tcPr>
            <w:tcW w:w="1985" w:type="dxa"/>
          </w:tcPr>
          <w:p w14:paraId="1ACDBE06" w14:textId="2F9AA6DD" w:rsidR="003760E5" w:rsidRDefault="001E1F10" w:rsidP="00572A0B">
            <w:r>
              <w:t>7”</w:t>
            </w:r>
          </w:p>
        </w:tc>
        <w:tc>
          <w:tcPr>
            <w:tcW w:w="1985" w:type="dxa"/>
          </w:tcPr>
          <w:p w14:paraId="1B514117" w14:textId="0CCD027D" w:rsidR="003760E5" w:rsidRDefault="001E1F10" w:rsidP="00572A0B">
            <w:r>
              <w:t>5”</w:t>
            </w:r>
          </w:p>
        </w:tc>
      </w:tr>
      <w:tr w:rsidR="003760E5" w14:paraId="0C290395" w14:textId="173AD6B1" w:rsidTr="00C61323">
        <w:tc>
          <w:tcPr>
            <w:tcW w:w="2972" w:type="dxa"/>
          </w:tcPr>
          <w:p w14:paraId="0C057D2B" w14:textId="750284A8" w:rsidR="003760E5" w:rsidRDefault="003760E5" w:rsidP="00572A0B">
            <w:r>
              <w:t>Height</w:t>
            </w:r>
          </w:p>
        </w:tc>
        <w:tc>
          <w:tcPr>
            <w:tcW w:w="1985" w:type="dxa"/>
          </w:tcPr>
          <w:p w14:paraId="499FA27A" w14:textId="1C0275E8" w:rsidR="003760E5" w:rsidRDefault="001E1F10" w:rsidP="00572A0B">
            <w:r>
              <w:t>0.5”</w:t>
            </w:r>
          </w:p>
        </w:tc>
        <w:tc>
          <w:tcPr>
            <w:tcW w:w="1985" w:type="dxa"/>
          </w:tcPr>
          <w:p w14:paraId="287FABFA" w14:textId="766BDF1A" w:rsidR="003760E5" w:rsidRDefault="001E1F10" w:rsidP="00572A0B">
            <w:r>
              <w:t>0.3”</w:t>
            </w:r>
          </w:p>
        </w:tc>
        <w:tc>
          <w:tcPr>
            <w:tcW w:w="1985" w:type="dxa"/>
          </w:tcPr>
          <w:p w14:paraId="474AF4C7" w14:textId="370E163C" w:rsidR="003760E5" w:rsidRDefault="001E1F10" w:rsidP="00572A0B">
            <w:r>
              <w:t>0.1”</w:t>
            </w:r>
          </w:p>
        </w:tc>
      </w:tr>
      <w:tr w:rsidR="003760E5" w14:paraId="25FED015" w14:textId="219D6424" w:rsidTr="00C61323">
        <w:tc>
          <w:tcPr>
            <w:tcW w:w="2972" w:type="dxa"/>
          </w:tcPr>
          <w:p w14:paraId="4817AD49" w14:textId="4B967AE7" w:rsidR="003760E5" w:rsidRDefault="003760E5" w:rsidP="00572A0B">
            <w:r>
              <w:t>Weight</w:t>
            </w:r>
          </w:p>
        </w:tc>
        <w:tc>
          <w:tcPr>
            <w:tcW w:w="1985" w:type="dxa"/>
          </w:tcPr>
          <w:p w14:paraId="4F5FB710" w14:textId="03021A57" w:rsidR="003760E5" w:rsidRDefault="001E1F10" w:rsidP="00572A0B">
            <w:r>
              <w:t>71lb</w:t>
            </w:r>
          </w:p>
        </w:tc>
        <w:tc>
          <w:tcPr>
            <w:tcW w:w="1985" w:type="dxa"/>
          </w:tcPr>
          <w:p w14:paraId="16733BF3" w14:textId="1715B053" w:rsidR="003760E5" w:rsidRDefault="001E1F10" w:rsidP="00572A0B">
            <w:r>
              <w:t>4.5lb</w:t>
            </w:r>
          </w:p>
        </w:tc>
        <w:tc>
          <w:tcPr>
            <w:tcW w:w="1985" w:type="dxa"/>
          </w:tcPr>
          <w:p w14:paraId="2E17777F" w14:textId="59FB0ECE" w:rsidR="003760E5" w:rsidRDefault="001E1F10" w:rsidP="00572A0B">
            <w:r>
              <w:t>0.4lb</w:t>
            </w:r>
          </w:p>
        </w:tc>
      </w:tr>
      <w:tr w:rsidR="003760E5" w14:paraId="6F08478A" w14:textId="55500260" w:rsidTr="00C61323">
        <w:tc>
          <w:tcPr>
            <w:tcW w:w="2972" w:type="dxa"/>
          </w:tcPr>
          <w:p w14:paraId="0D11F4B4" w14:textId="77777777" w:rsidR="003760E5" w:rsidRDefault="003760E5" w:rsidP="00572A0B">
            <w:r>
              <w:t>Qty/Pallet</w:t>
            </w:r>
          </w:p>
        </w:tc>
        <w:tc>
          <w:tcPr>
            <w:tcW w:w="1985" w:type="dxa"/>
          </w:tcPr>
          <w:p w14:paraId="04E562B4" w14:textId="56B695B0" w:rsidR="003760E5" w:rsidRDefault="003760E5" w:rsidP="00572A0B">
            <w:r>
              <w:t>20</w:t>
            </w:r>
          </w:p>
        </w:tc>
        <w:tc>
          <w:tcPr>
            <w:tcW w:w="1985" w:type="dxa"/>
          </w:tcPr>
          <w:p w14:paraId="7F8E0BD0" w14:textId="4C732579" w:rsidR="003760E5" w:rsidRDefault="003760E5" w:rsidP="00572A0B">
            <w:r>
              <w:t>100</w:t>
            </w:r>
          </w:p>
        </w:tc>
        <w:tc>
          <w:tcPr>
            <w:tcW w:w="1985" w:type="dxa"/>
          </w:tcPr>
          <w:p w14:paraId="79780266" w14:textId="4B21896E" w:rsidR="003760E5" w:rsidRDefault="003C6AB6" w:rsidP="00572A0B">
            <w:r>
              <w:t>100</w:t>
            </w:r>
          </w:p>
        </w:tc>
      </w:tr>
      <w:tr w:rsidR="003760E5" w14:paraId="675FBFA1" w14:textId="0C0107FB" w:rsidTr="00C61323">
        <w:trPr>
          <w:trHeight w:val="198"/>
        </w:trPr>
        <w:tc>
          <w:tcPr>
            <w:tcW w:w="2972" w:type="dxa"/>
          </w:tcPr>
          <w:p w14:paraId="2BAD6328" w14:textId="62808DB2" w:rsidR="003760E5" w:rsidRDefault="003760E5" w:rsidP="00572A0B">
            <w:r>
              <w:t>Color</w:t>
            </w:r>
          </w:p>
        </w:tc>
        <w:tc>
          <w:tcPr>
            <w:tcW w:w="1985" w:type="dxa"/>
          </w:tcPr>
          <w:p w14:paraId="35C1D045" w14:textId="78C8DB86" w:rsidR="003760E5" w:rsidRDefault="003760E5" w:rsidP="00572A0B">
            <w:r>
              <w:t xml:space="preserve">Grey - </w:t>
            </w:r>
            <w:r w:rsidRPr="00BE3026">
              <w:t>Wide range of colors and translucent</w:t>
            </w:r>
          </w:p>
        </w:tc>
        <w:tc>
          <w:tcPr>
            <w:tcW w:w="1985" w:type="dxa"/>
          </w:tcPr>
          <w:p w14:paraId="44769958" w14:textId="3C2C0A7D" w:rsidR="003760E5" w:rsidRDefault="003760E5" w:rsidP="00572A0B">
            <w:r>
              <w:t>Sliver</w:t>
            </w:r>
          </w:p>
        </w:tc>
        <w:tc>
          <w:tcPr>
            <w:tcW w:w="1985" w:type="dxa"/>
          </w:tcPr>
          <w:p w14:paraId="1E9BE4A7" w14:textId="40DB176B" w:rsidR="003760E5" w:rsidRDefault="003C6AB6" w:rsidP="00572A0B">
            <w:r>
              <w:t>Sliver</w:t>
            </w:r>
          </w:p>
        </w:tc>
      </w:tr>
    </w:tbl>
    <w:p w14:paraId="1EE3DCEB" w14:textId="07589B55" w:rsidR="00065D7D" w:rsidRDefault="00065D7D" w:rsidP="00065D7D">
      <w:pPr>
        <w:spacing w:after="0" w:line="240" w:lineRule="auto"/>
      </w:pPr>
    </w:p>
    <w:p w14:paraId="0DC51A10" w14:textId="777B8709" w:rsidR="00EC1BE5" w:rsidRPr="00A255CA" w:rsidRDefault="00EC1BE5" w:rsidP="00EC1BE5">
      <w:pPr>
        <w:spacing w:after="0"/>
        <w:rPr>
          <w:b/>
          <w:bCs/>
        </w:rPr>
      </w:pPr>
      <w:bookmarkStart w:id="0" w:name="_Hlk99635252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EnduraMat</w:t>
      </w:r>
      <w:r w:rsidR="003760E5" w:rsidRPr="003760E5">
        <w:rPr>
          <w:b/>
          <w:bCs/>
        </w:rPr>
        <w:t>™</w:t>
      </w:r>
    </w:p>
    <w:p w14:paraId="0530553B" w14:textId="5D9C220C" w:rsidR="00EC1BE5" w:rsidRDefault="00EC1BE5" w:rsidP="00EC1BE5">
      <w:pPr>
        <w:spacing w:after="0"/>
      </w:pPr>
      <w:r>
        <w:t xml:space="preserve">H1 Title: </w:t>
      </w:r>
      <w:r w:rsidRPr="00EC1BE5">
        <w:t>EnduraMat</w:t>
      </w:r>
      <w:r w:rsidR="003760E5" w:rsidRPr="003760E5">
        <w:t>™</w:t>
      </w:r>
    </w:p>
    <w:p w14:paraId="66CA6CBA" w14:textId="6EFB6203" w:rsidR="00EC1BE5" w:rsidRDefault="00EC1BE5" w:rsidP="00EC1BE5">
      <w:pPr>
        <w:spacing w:after="0"/>
      </w:pPr>
      <w:r>
        <w:t xml:space="preserve">H2 Title: </w:t>
      </w:r>
      <w:r w:rsidRPr="00EC1BE5">
        <w:t>EnduraMat</w:t>
      </w:r>
      <w:r w:rsidR="003760E5" w:rsidRPr="003760E5">
        <w:t>™</w:t>
      </w:r>
      <w:r w:rsidRPr="00EC1BE5">
        <w:t xml:space="preserve"> – Ground protection mat</w:t>
      </w:r>
    </w:p>
    <w:p w14:paraId="693DBC4B" w14:textId="77777777" w:rsidR="00EC1BE5" w:rsidRDefault="00EC1BE5" w:rsidP="00EC1BE5">
      <w:pPr>
        <w:spacing w:after="0"/>
      </w:pPr>
    </w:p>
    <w:p w14:paraId="40AC3BEF" w14:textId="02AEF9E7" w:rsidR="00EC1BE5" w:rsidRDefault="00EC1BE5" w:rsidP="00EC1BE5">
      <w:pPr>
        <w:spacing w:after="0"/>
      </w:pPr>
      <w:r>
        <w:t xml:space="preserve">Meta Tile: </w:t>
      </w:r>
      <w:r w:rsidRPr="00EC1BE5">
        <w:t>Temporary Road Mats | EnduraMat</w:t>
      </w:r>
      <w:r w:rsidR="003760E5" w:rsidRPr="003760E5">
        <w:t>™</w:t>
      </w:r>
      <w:r w:rsidRPr="00EC1BE5">
        <w:t xml:space="preserve"> | Oxford Plastics</w:t>
      </w:r>
    </w:p>
    <w:p w14:paraId="2A84255B" w14:textId="78E98BDF" w:rsidR="00EC1BE5" w:rsidRDefault="00EC1BE5" w:rsidP="00EC1BE5">
      <w:r>
        <w:t xml:space="preserve">Meta Description: </w:t>
      </w:r>
      <w:r w:rsidRPr="00EC1BE5">
        <w:t>The EnduraMat</w:t>
      </w:r>
      <w:r w:rsidR="003760E5" w:rsidRPr="003760E5">
        <w:t>™</w:t>
      </w:r>
      <w:r w:rsidRPr="00EC1BE5">
        <w:t xml:space="preserve"> is a heavy-duty ground protection mat for temporary access. Browse our EnduraMat</w:t>
      </w:r>
      <w:r w:rsidR="003760E5" w:rsidRPr="003760E5">
        <w:t>™</w:t>
      </w:r>
      <w:r w:rsidRPr="00EC1BE5">
        <w:t xml:space="preserve"> range of temporary road surfaces online now.</w:t>
      </w:r>
    </w:p>
    <w:bookmarkEnd w:id="0"/>
    <w:p w14:paraId="6D4BBE01" w14:textId="77777777" w:rsidR="00EC1BE5" w:rsidRDefault="00EC1BE5" w:rsidP="00065D7D">
      <w:pPr>
        <w:spacing w:after="0" w:line="240" w:lineRule="auto"/>
      </w:pPr>
    </w:p>
    <w:sectPr w:rsidR="00EC1B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F40F7"/>
    <w:multiLevelType w:val="hybridMultilevel"/>
    <w:tmpl w:val="2B2A31DC"/>
    <w:lvl w:ilvl="0" w:tplc="1652C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DA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32A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0E8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9CC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4E2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B68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C2B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104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7069532">
    <w:abstractNumId w:val="2"/>
  </w:num>
  <w:num w:numId="2" w16cid:durableId="1589004418">
    <w:abstractNumId w:val="0"/>
  </w:num>
  <w:num w:numId="3" w16cid:durableId="186990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C1"/>
    <w:rsid w:val="00065D7D"/>
    <w:rsid w:val="001E1F10"/>
    <w:rsid w:val="003760E5"/>
    <w:rsid w:val="003B0324"/>
    <w:rsid w:val="003C6AB6"/>
    <w:rsid w:val="004A0661"/>
    <w:rsid w:val="00512D7F"/>
    <w:rsid w:val="005A2820"/>
    <w:rsid w:val="00646F1C"/>
    <w:rsid w:val="009373A8"/>
    <w:rsid w:val="00BB1935"/>
    <w:rsid w:val="00BB7594"/>
    <w:rsid w:val="00BE3026"/>
    <w:rsid w:val="00EC1BE5"/>
    <w:rsid w:val="00ED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7FBF"/>
  <w15:chartTrackingRefBased/>
  <w15:docId w15:val="{8AD46531-98CE-4DF4-9E1A-88259D8B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1B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D0F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0FC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065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7594"/>
    <w:pPr>
      <w:spacing w:after="0" w:line="240" w:lineRule="auto"/>
      <w:ind w:left="720"/>
      <w:contextualSpacing/>
    </w:pPr>
    <w:rPr>
      <w:rFonts w:ascii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EC1B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1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8635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8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46790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5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411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8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7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227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56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6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3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4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2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7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19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3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6</cp:revision>
  <dcterms:created xsi:type="dcterms:W3CDTF">2022-03-31T15:26:00Z</dcterms:created>
  <dcterms:modified xsi:type="dcterms:W3CDTF">2023-03-20T11:45:00Z</dcterms:modified>
</cp:coreProperties>
</file>